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587"/>
        <w:gridCol w:w="1116"/>
        <w:gridCol w:w="1116"/>
        <w:gridCol w:w="1116"/>
        <w:gridCol w:w="1116"/>
        <w:gridCol w:w="996"/>
      </w:tblGrid>
      <w:tr w:rsidR="001D1F1D" w14:paraId="5BB491E1" w14:textId="77777777" w:rsidTr="000D341B">
        <w:tc>
          <w:tcPr>
            <w:tcW w:w="3587" w:type="dxa"/>
            <w:shd w:val="clear" w:color="auto" w:fill="2F5496" w:themeFill="accent1" w:themeFillShade="BF"/>
          </w:tcPr>
          <w:p w14:paraId="5595BE59" w14:textId="56683FFB" w:rsidR="001D1F1D" w:rsidRPr="001D1F1D" w:rsidRDefault="001D1F1D" w:rsidP="000C1483">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Taxing Entity: Borden County</w:t>
            </w:r>
          </w:p>
        </w:tc>
        <w:tc>
          <w:tcPr>
            <w:tcW w:w="966" w:type="dxa"/>
            <w:shd w:val="clear" w:color="auto" w:fill="2F5496" w:themeFill="accent1" w:themeFillShade="BF"/>
          </w:tcPr>
          <w:p w14:paraId="01CDDFFF" w14:textId="2C0E0CF8" w:rsidR="001D1F1D" w:rsidRPr="001D1F1D" w:rsidRDefault="001D1F1D" w:rsidP="000C1483">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w:t>
            </w:r>
          </w:p>
          <w:p w14:paraId="6CB44B4C" w14:textId="39F5FE4B" w:rsidR="001D1F1D" w:rsidRPr="001D1F1D" w:rsidRDefault="001D1F1D" w:rsidP="000C1483">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2025</w:t>
            </w:r>
          </w:p>
        </w:tc>
        <w:tc>
          <w:tcPr>
            <w:tcW w:w="966" w:type="dxa"/>
            <w:shd w:val="clear" w:color="auto" w:fill="2F5496" w:themeFill="accent1" w:themeFillShade="BF"/>
          </w:tcPr>
          <w:p w14:paraId="6EB0B223" w14:textId="77777777" w:rsidR="001D1F1D" w:rsidRPr="001D1F1D" w:rsidRDefault="001D1F1D" w:rsidP="000C1483">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w:t>
            </w:r>
          </w:p>
          <w:p w14:paraId="5BB9A32F" w14:textId="7319F76C" w:rsidR="001D1F1D" w:rsidRPr="001D1F1D" w:rsidRDefault="001D1F1D" w:rsidP="000C1483">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2024</w:t>
            </w:r>
          </w:p>
        </w:tc>
        <w:tc>
          <w:tcPr>
            <w:tcW w:w="966" w:type="dxa"/>
            <w:shd w:val="clear" w:color="auto" w:fill="2F5496" w:themeFill="accent1" w:themeFillShade="BF"/>
          </w:tcPr>
          <w:p w14:paraId="7BB63696" w14:textId="4A5F276D" w:rsidR="001D1F1D" w:rsidRPr="001D1F1D" w:rsidRDefault="001D1F1D" w:rsidP="000C1483">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 2023</w:t>
            </w:r>
          </w:p>
        </w:tc>
        <w:tc>
          <w:tcPr>
            <w:tcW w:w="966" w:type="dxa"/>
            <w:shd w:val="clear" w:color="auto" w:fill="2F5496" w:themeFill="accent1" w:themeFillShade="BF"/>
          </w:tcPr>
          <w:p w14:paraId="185903A4" w14:textId="4C467A6B" w:rsidR="001D1F1D" w:rsidRPr="001D1F1D" w:rsidRDefault="001D1F1D" w:rsidP="000C1483">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 2022</w:t>
            </w:r>
          </w:p>
        </w:tc>
        <w:tc>
          <w:tcPr>
            <w:tcW w:w="940" w:type="dxa"/>
            <w:shd w:val="clear" w:color="auto" w:fill="2F5496" w:themeFill="accent1" w:themeFillShade="BF"/>
          </w:tcPr>
          <w:p w14:paraId="20D82C16" w14:textId="77777777" w:rsidR="001D1F1D" w:rsidRPr="001D1F1D" w:rsidRDefault="001D1F1D" w:rsidP="000C1483">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w:t>
            </w:r>
          </w:p>
          <w:p w14:paraId="29ED7AD4" w14:textId="6C09FD50" w:rsidR="001D1F1D" w:rsidRPr="001D1F1D" w:rsidRDefault="001D1F1D" w:rsidP="000C1483">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2021</w:t>
            </w:r>
          </w:p>
        </w:tc>
      </w:tr>
      <w:tr w:rsidR="001D1F1D" w14:paraId="069BAAF1" w14:textId="77777777" w:rsidTr="000D341B">
        <w:tc>
          <w:tcPr>
            <w:tcW w:w="3587" w:type="dxa"/>
          </w:tcPr>
          <w:p w14:paraId="394D4FBD" w14:textId="3834E43F" w:rsidR="001D1F1D" w:rsidRPr="001D1F1D" w:rsidRDefault="001D1F1D" w:rsidP="00064E10">
            <w:pPr>
              <w:rPr>
                <w:rFonts w:ascii="Times New Roman" w:hAnsi="Times New Roman" w:cs="Times New Roman"/>
                <w:color w:val="000000" w:themeColor="text1"/>
              </w:rPr>
            </w:pPr>
            <w:r w:rsidRPr="001D1F1D">
              <w:rPr>
                <w:rFonts w:ascii="Times New Roman" w:hAnsi="Times New Roman" w:cs="Times New Roman"/>
                <w:color w:val="000000" w:themeColor="text1"/>
              </w:rPr>
              <w:t>Adopted Tax Rate</w:t>
            </w:r>
          </w:p>
        </w:tc>
        <w:tc>
          <w:tcPr>
            <w:tcW w:w="966" w:type="dxa"/>
          </w:tcPr>
          <w:p w14:paraId="65F8C7D2" w14:textId="4E7E15DD"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0.504000</w:t>
            </w:r>
          </w:p>
        </w:tc>
        <w:tc>
          <w:tcPr>
            <w:tcW w:w="966" w:type="dxa"/>
          </w:tcPr>
          <w:p w14:paraId="1416AC0B" w14:textId="68C06225"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0.328439</w:t>
            </w:r>
          </w:p>
        </w:tc>
        <w:tc>
          <w:tcPr>
            <w:tcW w:w="966" w:type="dxa"/>
          </w:tcPr>
          <w:p w14:paraId="44D2D2ED" w14:textId="715D3310"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0.508500</w:t>
            </w:r>
          </w:p>
        </w:tc>
        <w:tc>
          <w:tcPr>
            <w:tcW w:w="966" w:type="dxa"/>
          </w:tcPr>
          <w:p w14:paraId="66F29906" w14:textId="75CD0EB4"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0.573500</w:t>
            </w:r>
          </w:p>
        </w:tc>
        <w:tc>
          <w:tcPr>
            <w:tcW w:w="940" w:type="dxa"/>
          </w:tcPr>
          <w:p w14:paraId="03E56D99" w14:textId="2B50828C"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0.74250</w:t>
            </w:r>
          </w:p>
        </w:tc>
      </w:tr>
      <w:tr w:rsidR="001D1F1D" w14:paraId="2412F3B8" w14:textId="77777777" w:rsidTr="000D341B">
        <w:tc>
          <w:tcPr>
            <w:tcW w:w="3587" w:type="dxa"/>
          </w:tcPr>
          <w:p w14:paraId="4541C607" w14:textId="2983E533" w:rsidR="001D1F1D" w:rsidRPr="001D1F1D" w:rsidRDefault="001D1F1D" w:rsidP="00064E10">
            <w:pPr>
              <w:rPr>
                <w:rFonts w:ascii="Times New Roman" w:hAnsi="Times New Roman" w:cs="Times New Roman"/>
              </w:rPr>
            </w:pPr>
            <w:r w:rsidRPr="001D1F1D">
              <w:rPr>
                <w:rFonts w:ascii="Times New Roman" w:hAnsi="Times New Roman" w:cs="Times New Roman"/>
              </w:rPr>
              <w:t>Interest &amp; Sinking Tax Rate</w:t>
            </w:r>
          </w:p>
        </w:tc>
        <w:tc>
          <w:tcPr>
            <w:tcW w:w="966" w:type="dxa"/>
          </w:tcPr>
          <w:p w14:paraId="0756DB21" w14:textId="3005A76F"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0.004000</w:t>
            </w:r>
          </w:p>
        </w:tc>
        <w:tc>
          <w:tcPr>
            <w:tcW w:w="966" w:type="dxa"/>
          </w:tcPr>
          <w:p w14:paraId="2A2139A3" w14:textId="2E9BEBEF"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0.005410</w:t>
            </w:r>
          </w:p>
        </w:tc>
        <w:tc>
          <w:tcPr>
            <w:tcW w:w="966" w:type="dxa"/>
          </w:tcPr>
          <w:p w14:paraId="57ACE1FA" w14:textId="534BF147"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0.008500</w:t>
            </w:r>
          </w:p>
        </w:tc>
        <w:tc>
          <w:tcPr>
            <w:tcW w:w="966" w:type="dxa"/>
          </w:tcPr>
          <w:p w14:paraId="1E6623C4" w14:textId="51EB1CDD"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0.008500</w:t>
            </w:r>
          </w:p>
        </w:tc>
        <w:tc>
          <w:tcPr>
            <w:tcW w:w="940" w:type="dxa"/>
          </w:tcPr>
          <w:p w14:paraId="4F76D7EA" w14:textId="13CF269D"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0.01250</w:t>
            </w:r>
          </w:p>
        </w:tc>
      </w:tr>
      <w:tr w:rsidR="001D1F1D" w14:paraId="6F3B1C3D" w14:textId="77777777" w:rsidTr="000D341B">
        <w:tc>
          <w:tcPr>
            <w:tcW w:w="3587" w:type="dxa"/>
          </w:tcPr>
          <w:p w14:paraId="061CA287" w14:textId="32EC5070" w:rsidR="001D1F1D" w:rsidRPr="001D1F1D" w:rsidRDefault="001D1F1D" w:rsidP="00064E10">
            <w:pPr>
              <w:rPr>
                <w:rFonts w:ascii="Times New Roman" w:hAnsi="Times New Roman" w:cs="Times New Roman"/>
              </w:rPr>
            </w:pPr>
            <w:r w:rsidRPr="001D1F1D">
              <w:rPr>
                <w:rFonts w:ascii="Times New Roman" w:hAnsi="Times New Roman" w:cs="Times New Roman"/>
              </w:rPr>
              <w:t>No New Revenue Tax Rate</w:t>
            </w:r>
          </w:p>
        </w:tc>
        <w:tc>
          <w:tcPr>
            <w:tcW w:w="966" w:type="dxa"/>
          </w:tcPr>
          <w:p w14:paraId="1393CFDD" w14:textId="4EB88A42"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0.410272</w:t>
            </w:r>
          </w:p>
        </w:tc>
        <w:tc>
          <w:tcPr>
            <w:tcW w:w="966" w:type="dxa"/>
          </w:tcPr>
          <w:p w14:paraId="289A1B51" w14:textId="73CE483F"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0.328439</w:t>
            </w:r>
          </w:p>
        </w:tc>
        <w:tc>
          <w:tcPr>
            <w:tcW w:w="966" w:type="dxa"/>
          </w:tcPr>
          <w:p w14:paraId="3B16B796" w14:textId="47165B8F"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0.491764</w:t>
            </w:r>
          </w:p>
        </w:tc>
        <w:tc>
          <w:tcPr>
            <w:tcW w:w="966" w:type="dxa"/>
          </w:tcPr>
          <w:p w14:paraId="718DC211" w14:textId="3E85CE80"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0.546589</w:t>
            </w:r>
          </w:p>
        </w:tc>
        <w:tc>
          <w:tcPr>
            <w:tcW w:w="940" w:type="dxa"/>
          </w:tcPr>
          <w:p w14:paraId="665AF870" w14:textId="424792F3"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0.97913</w:t>
            </w:r>
          </w:p>
        </w:tc>
      </w:tr>
      <w:tr w:rsidR="001D1F1D" w14:paraId="0340DD1D" w14:textId="77777777" w:rsidTr="000D341B">
        <w:tc>
          <w:tcPr>
            <w:tcW w:w="3587" w:type="dxa"/>
          </w:tcPr>
          <w:p w14:paraId="49B747AC" w14:textId="031BCC2C" w:rsidR="001D1F1D" w:rsidRPr="001D1F1D" w:rsidRDefault="001D1F1D" w:rsidP="00064E10">
            <w:pPr>
              <w:rPr>
                <w:rFonts w:ascii="Times New Roman" w:hAnsi="Times New Roman" w:cs="Times New Roman"/>
              </w:rPr>
            </w:pPr>
            <w:r w:rsidRPr="001D1F1D">
              <w:rPr>
                <w:rFonts w:ascii="Times New Roman" w:hAnsi="Times New Roman" w:cs="Times New Roman"/>
              </w:rPr>
              <w:t>No New Revenue Maintenance and Operations Rate</w:t>
            </w:r>
          </w:p>
        </w:tc>
        <w:tc>
          <w:tcPr>
            <w:tcW w:w="966" w:type="dxa"/>
          </w:tcPr>
          <w:p w14:paraId="17456089" w14:textId="54D02BC5"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0.398957</w:t>
            </w:r>
          </w:p>
        </w:tc>
        <w:tc>
          <w:tcPr>
            <w:tcW w:w="966" w:type="dxa"/>
          </w:tcPr>
          <w:p w14:paraId="5B953372" w14:textId="3B2067F1"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0.65000</w:t>
            </w:r>
          </w:p>
        </w:tc>
        <w:tc>
          <w:tcPr>
            <w:tcW w:w="966" w:type="dxa"/>
          </w:tcPr>
          <w:p w14:paraId="05E387CA" w14:textId="615CDC55"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0.50000</w:t>
            </w:r>
          </w:p>
        </w:tc>
        <w:tc>
          <w:tcPr>
            <w:tcW w:w="966" w:type="dxa"/>
          </w:tcPr>
          <w:p w14:paraId="04DD0F07" w14:textId="6F607562"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0.565000</w:t>
            </w:r>
          </w:p>
        </w:tc>
        <w:tc>
          <w:tcPr>
            <w:tcW w:w="940" w:type="dxa"/>
          </w:tcPr>
          <w:p w14:paraId="2F962D53" w14:textId="1B75F4BC"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0.73000</w:t>
            </w:r>
          </w:p>
        </w:tc>
      </w:tr>
      <w:tr w:rsidR="001D1F1D" w14:paraId="4F0087C2" w14:textId="77777777" w:rsidTr="000D341B">
        <w:tc>
          <w:tcPr>
            <w:tcW w:w="3587" w:type="dxa"/>
          </w:tcPr>
          <w:p w14:paraId="1F5853DF" w14:textId="44FB14D6" w:rsidR="001D1F1D" w:rsidRPr="001D1F1D" w:rsidRDefault="001D1F1D" w:rsidP="00064E10">
            <w:pPr>
              <w:rPr>
                <w:rFonts w:ascii="Times New Roman" w:hAnsi="Times New Roman" w:cs="Times New Roman"/>
              </w:rPr>
            </w:pPr>
            <w:r w:rsidRPr="001D1F1D">
              <w:rPr>
                <w:rFonts w:ascii="Times New Roman" w:hAnsi="Times New Roman" w:cs="Times New Roman"/>
              </w:rPr>
              <w:t>Voter Approved Tax Rate</w:t>
            </w:r>
          </w:p>
        </w:tc>
        <w:tc>
          <w:tcPr>
            <w:tcW w:w="966" w:type="dxa"/>
          </w:tcPr>
          <w:p w14:paraId="1A965813" w14:textId="216F5A93"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0.512915</w:t>
            </w:r>
          </w:p>
        </w:tc>
        <w:tc>
          <w:tcPr>
            <w:tcW w:w="966" w:type="dxa"/>
          </w:tcPr>
          <w:p w14:paraId="14BD7E03" w14:textId="791601BC"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0.426778</w:t>
            </w:r>
          </w:p>
        </w:tc>
        <w:tc>
          <w:tcPr>
            <w:tcW w:w="966" w:type="dxa"/>
          </w:tcPr>
          <w:p w14:paraId="4497F9E7" w14:textId="30AAC6B4"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0.525417</w:t>
            </w:r>
          </w:p>
        </w:tc>
        <w:tc>
          <w:tcPr>
            <w:tcW w:w="966" w:type="dxa"/>
          </w:tcPr>
          <w:p w14:paraId="155AF155" w14:textId="0EEB34DC" w:rsidR="001D1F1D" w:rsidRPr="001D1F1D" w:rsidRDefault="001D1F1D" w:rsidP="000C1483">
            <w:pPr>
              <w:jc w:val="center"/>
              <w:rPr>
                <w:rFonts w:ascii="Times New Roman" w:hAnsi="Times New Roman" w:cs="Times New Roman"/>
              </w:rPr>
            </w:pPr>
            <w:r w:rsidRPr="001D1F1D">
              <w:rPr>
                <w:rFonts w:ascii="Times New Roman" w:hAnsi="Times New Roman" w:cs="Times New Roman"/>
              </w:rPr>
              <w:t>0.565185</w:t>
            </w:r>
          </w:p>
        </w:tc>
        <w:tc>
          <w:tcPr>
            <w:tcW w:w="940" w:type="dxa"/>
          </w:tcPr>
          <w:p w14:paraId="5CE8F842" w14:textId="38DE802F" w:rsidR="001D1F1D" w:rsidRPr="001D1F1D" w:rsidRDefault="001D1F1D" w:rsidP="000C1483">
            <w:pPr>
              <w:jc w:val="center"/>
              <w:rPr>
                <w:rFonts w:ascii="Times New Roman" w:hAnsi="Times New Roman" w:cs="Times New Roman"/>
              </w:rPr>
            </w:pPr>
            <w:r w:rsidRPr="001D1F1D">
              <w:rPr>
                <w:rFonts w:ascii="Times New Roman" w:hAnsi="Times New Roman" w:cs="Times New Roman"/>
              </w:rPr>
              <w:t>1.02869</w:t>
            </w:r>
          </w:p>
        </w:tc>
      </w:tr>
      <w:tr w:rsidR="001D1F1D" w:rsidRPr="00064E10" w14:paraId="18A945FA" w14:textId="77777777" w:rsidTr="000D341B">
        <w:tc>
          <w:tcPr>
            <w:tcW w:w="3587" w:type="dxa"/>
            <w:shd w:val="clear" w:color="auto" w:fill="2F5496" w:themeFill="accent1" w:themeFillShade="BF"/>
          </w:tcPr>
          <w:p w14:paraId="33BDA0DD" w14:textId="6424983E" w:rsidR="001D1F1D" w:rsidRPr="001D1F1D" w:rsidRDefault="001D1F1D" w:rsidP="00B05A72">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Taxing Entity: Borden County ISD</w:t>
            </w:r>
          </w:p>
        </w:tc>
        <w:tc>
          <w:tcPr>
            <w:tcW w:w="966" w:type="dxa"/>
            <w:shd w:val="clear" w:color="auto" w:fill="2F5496" w:themeFill="accent1" w:themeFillShade="BF"/>
          </w:tcPr>
          <w:p w14:paraId="0CD0FC2E" w14:textId="3C08313C" w:rsidR="001D1F1D" w:rsidRPr="001D1F1D" w:rsidRDefault="001D1F1D" w:rsidP="00B05A72">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w:t>
            </w:r>
          </w:p>
          <w:p w14:paraId="48672589" w14:textId="77777777" w:rsidR="001D1F1D" w:rsidRPr="001D1F1D" w:rsidRDefault="001D1F1D" w:rsidP="00B05A72">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2025</w:t>
            </w:r>
          </w:p>
        </w:tc>
        <w:tc>
          <w:tcPr>
            <w:tcW w:w="966" w:type="dxa"/>
            <w:shd w:val="clear" w:color="auto" w:fill="2F5496" w:themeFill="accent1" w:themeFillShade="BF"/>
          </w:tcPr>
          <w:p w14:paraId="3817D4C8" w14:textId="77777777" w:rsidR="001D1F1D" w:rsidRPr="001D1F1D" w:rsidRDefault="001D1F1D" w:rsidP="00B05A72">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w:t>
            </w:r>
          </w:p>
          <w:p w14:paraId="054AD899" w14:textId="77777777" w:rsidR="001D1F1D" w:rsidRPr="001D1F1D" w:rsidRDefault="001D1F1D" w:rsidP="00B05A72">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2024</w:t>
            </w:r>
          </w:p>
        </w:tc>
        <w:tc>
          <w:tcPr>
            <w:tcW w:w="966" w:type="dxa"/>
            <w:shd w:val="clear" w:color="auto" w:fill="2F5496" w:themeFill="accent1" w:themeFillShade="BF"/>
          </w:tcPr>
          <w:p w14:paraId="23641431" w14:textId="77777777" w:rsidR="001D1F1D" w:rsidRPr="001D1F1D" w:rsidRDefault="001D1F1D" w:rsidP="00B05A72">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 2023</w:t>
            </w:r>
          </w:p>
        </w:tc>
        <w:tc>
          <w:tcPr>
            <w:tcW w:w="966" w:type="dxa"/>
            <w:shd w:val="clear" w:color="auto" w:fill="2F5496" w:themeFill="accent1" w:themeFillShade="BF"/>
          </w:tcPr>
          <w:p w14:paraId="51674E87" w14:textId="77777777" w:rsidR="001D1F1D" w:rsidRPr="001D1F1D" w:rsidRDefault="001D1F1D" w:rsidP="00B05A72">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 2022</w:t>
            </w:r>
          </w:p>
        </w:tc>
        <w:tc>
          <w:tcPr>
            <w:tcW w:w="940" w:type="dxa"/>
            <w:shd w:val="clear" w:color="auto" w:fill="2F5496" w:themeFill="accent1" w:themeFillShade="BF"/>
          </w:tcPr>
          <w:p w14:paraId="033C69C3" w14:textId="77777777" w:rsidR="001D1F1D" w:rsidRPr="001D1F1D" w:rsidRDefault="001D1F1D" w:rsidP="00B05A72">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Tax Year</w:t>
            </w:r>
          </w:p>
          <w:p w14:paraId="3FB213B7" w14:textId="77777777" w:rsidR="001D1F1D" w:rsidRPr="001D1F1D" w:rsidRDefault="001D1F1D" w:rsidP="00B05A72">
            <w:pPr>
              <w:jc w:val="center"/>
              <w:rPr>
                <w:rFonts w:ascii="Times New Roman" w:hAnsi="Times New Roman" w:cs="Times New Roman"/>
                <w:b/>
                <w:bCs/>
                <w:color w:val="FFFFFF" w:themeColor="background1"/>
              </w:rPr>
            </w:pPr>
            <w:r w:rsidRPr="001D1F1D">
              <w:rPr>
                <w:rFonts w:ascii="Times New Roman" w:hAnsi="Times New Roman" w:cs="Times New Roman"/>
                <w:b/>
                <w:bCs/>
                <w:color w:val="FFFFFF" w:themeColor="background1"/>
              </w:rPr>
              <w:t>2021</w:t>
            </w:r>
          </w:p>
        </w:tc>
      </w:tr>
      <w:tr w:rsidR="001D1F1D" w14:paraId="78BC86E2" w14:textId="77777777" w:rsidTr="000D341B">
        <w:tc>
          <w:tcPr>
            <w:tcW w:w="3587" w:type="dxa"/>
          </w:tcPr>
          <w:p w14:paraId="3A51F75D" w14:textId="506D2F84" w:rsidR="001D1F1D" w:rsidRPr="001D1F1D" w:rsidRDefault="001D1F1D" w:rsidP="00064E10">
            <w:pPr>
              <w:rPr>
                <w:rFonts w:ascii="Times New Roman" w:hAnsi="Times New Roman" w:cs="Times New Roman"/>
                <w:b/>
                <w:bCs/>
              </w:rPr>
            </w:pPr>
            <w:r w:rsidRPr="001D1F1D">
              <w:rPr>
                <w:rFonts w:ascii="Times New Roman" w:hAnsi="Times New Roman" w:cs="Times New Roman"/>
                <w:color w:val="000000" w:themeColor="text1"/>
              </w:rPr>
              <w:t>Adopted Tax Rate</w:t>
            </w:r>
          </w:p>
        </w:tc>
        <w:tc>
          <w:tcPr>
            <w:tcW w:w="966" w:type="dxa"/>
          </w:tcPr>
          <w:p w14:paraId="758B8C6A" w14:textId="6EED03A0"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0.6969</w:t>
            </w:r>
          </w:p>
        </w:tc>
        <w:tc>
          <w:tcPr>
            <w:tcW w:w="966" w:type="dxa"/>
          </w:tcPr>
          <w:p w14:paraId="0596B25A" w14:textId="78503623"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0.69690</w:t>
            </w:r>
          </w:p>
        </w:tc>
        <w:tc>
          <w:tcPr>
            <w:tcW w:w="966" w:type="dxa"/>
          </w:tcPr>
          <w:p w14:paraId="0144D348" w14:textId="5715C074"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0.86000</w:t>
            </w:r>
          </w:p>
        </w:tc>
        <w:tc>
          <w:tcPr>
            <w:tcW w:w="966" w:type="dxa"/>
          </w:tcPr>
          <w:p w14:paraId="486A278E" w14:textId="0D1315F5" w:rsidR="001D1F1D" w:rsidRPr="001D1F1D" w:rsidRDefault="001D1F1D" w:rsidP="00064E10">
            <w:pPr>
              <w:jc w:val="center"/>
              <w:rPr>
                <w:rFonts w:ascii="Times New Roman" w:hAnsi="Times New Roman" w:cs="Times New Roman"/>
              </w:rPr>
            </w:pPr>
            <w:r w:rsidRPr="001D1F1D">
              <w:rPr>
                <w:rFonts w:ascii="Times New Roman" w:hAnsi="Times New Roman" w:cs="Times New Roman"/>
              </w:rPr>
              <w:t>1.1200</w:t>
            </w:r>
          </w:p>
        </w:tc>
        <w:tc>
          <w:tcPr>
            <w:tcW w:w="940" w:type="dxa"/>
          </w:tcPr>
          <w:p w14:paraId="2B7C477C" w14:textId="3611CB21" w:rsidR="001D1F1D" w:rsidRPr="001D1F1D" w:rsidRDefault="001D1F1D" w:rsidP="00064E10">
            <w:pPr>
              <w:jc w:val="center"/>
              <w:rPr>
                <w:rFonts w:ascii="Times New Roman" w:hAnsi="Times New Roman" w:cs="Times New Roman"/>
              </w:rPr>
            </w:pPr>
            <w:r w:rsidRPr="001D1F1D">
              <w:rPr>
                <w:rFonts w:ascii="Times New Roman" w:hAnsi="Times New Roman" w:cs="Times New Roman"/>
              </w:rPr>
              <w:t>1.25000</w:t>
            </w:r>
          </w:p>
        </w:tc>
      </w:tr>
      <w:tr w:rsidR="001D1F1D" w14:paraId="7FC3C9D3" w14:textId="77777777" w:rsidTr="000D341B">
        <w:tc>
          <w:tcPr>
            <w:tcW w:w="3587" w:type="dxa"/>
          </w:tcPr>
          <w:p w14:paraId="738F7D9D" w14:textId="07C4A848" w:rsidR="001D1F1D" w:rsidRPr="001D1F1D" w:rsidRDefault="001D1F1D" w:rsidP="00064E10">
            <w:pPr>
              <w:rPr>
                <w:rFonts w:ascii="Times New Roman" w:hAnsi="Times New Roman" w:cs="Times New Roman"/>
                <w:b/>
                <w:bCs/>
              </w:rPr>
            </w:pPr>
            <w:r w:rsidRPr="001D1F1D">
              <w:rPr>
                <w:rFonts w:ascii="Times New Roman" w:hAnsi="Times New Roman" w:cs="Times New Roman"/>
              </w:rPr>
              <w:t>Maintenance &amp; Operations Rate</w:t>
            </w:r>
          </w:p>
        </w:tc>
        <w:tc>
          <w:tcPr>
            <w:tcW w:w="966" w:type="dxa"/>
          </w:tcPr>
          <w:p w14:paraId="62D2F76E" w14:textId="40FEC2C9"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0.6969</w:t>
            </w:r>
          </w:p>
        </w:tc>
        <w:tc>
          <w:tcPr>
            <w:tcW w:w="966" w:type="dxa"/>
          </w:tcPr>
          <w:p w14:paraId="526B197E" w14:textId="1241D94F"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0.69690</w:t>
            </w:r>
          </w:p>
        </w:tc>
        <w:tc>
          <w:tcPr>
            <w:tcW w:w="966" w:type="dxa"/>
          </w:tcPr>
          <w:p w14:paraId="71BDCB24" w14:textId="5A34A5B3"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0.70340</w:t>
            </w:r>
          </w:p>
        </w:tc>
        <w:tc>
          <w:tcPr>
            <w:tcW w:w="966" w:type="dxa"/>
          </w:tcPr>
          <w:p w14:paraId="19271227" w14:textId="5612462E"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0.8846</w:t>
            </w:r>
          </w:p>
        </w:tc>
        <w:tc>
          <w:tcPr>
            <w:tcW w:w="940" w:type="dxa"/>
          </w:tcPr>
          <w:p w14:paraId="0AF00F34" w14:textId="56745F6D"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0.96340</w:t>
            </w:r>
          </w:p>
        </w:tc>
      </w:tr>
      <w:tr w:rsidR="001D1F1D" w14:paraId="62CB1307" w14:textId="77777777" w:rsidTr="000D341B">
        <w:tc>
          <w:tcPr>
            <w:tcW w:w="3587" w:type="dxa"/>
          </w:tcPr>
          <w:p w14:paraId="15229E63" w14:textId="1E789705" w:rsidR="001D1F1D" w:rsidRPr="001D1F1D" w:rsidRDefault="001D1F1D" w:rsidP="00064E10">
            <w:pPr>
              <w:rPr>
                <w:rFonts w:ascii="Times New Roman" w:hAnsi="Times New Roman" w:cs="Times New Roman"/>
                <w:b/>
                <w:bCs/>
              </w:rPr>
            </w:pPr>
            <w:r w:rsidRPr="001D1F1D">
              <w:rPr>
                <w:rFonts w:ascii="Times New Roman" w:hAnsi="Times New Roman" w:cs="Times New Roman"/>
              </w:rPr>
              <w:t>Interest &amp; Sinking Tax Rate</w:t>
            </w:r>
          </w:p>
        </w:tc>
        <w:tc>
          <w:tcPr>
            <w:tcW w:w="966" w:type="dxa"/>
          </w:tcPr>
          <w:p w14:paraId="6C2303D2" w14:textId="467E92FB"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0.08695</w:t>
            </w:r>
          </w:p>
        </w:tc>
        <w:tc>
          <w:tcPr>
            <w:tcW w:w="966" w:type="dxa"/>
          </w:tcPr>
          <w:p w14:paraId="1656708D" w14:textId="6DFB0E6D"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0.0000</w:t>
            </w:r>
          </w:p>
        </w:tc>
        <w:tc>
          <w:tcPr>
            <w:tcW w:w="966" w:type="dxa"/>
          </w:tcPr>
          <w:p w14:paraId="0D287C03" w14:textId="7BFCCAAE"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0.15660</w:t>
            </w:r>
          </w:p>
        </w:tc>
        <w:tc>
          <w:tcPr>
            <w:tcW w:w="966" w:type="dxa"/>
          </w:tcPr>
          <w:p w14:paraId="652A27B3" w14:textId="265AA45F"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0.23547</w:t>
            </w:r>
          </w:p>
        </w:tc>
        <w:tc>
          <w:tcPr>
            <w:tcW w:w="940" w:type="dxa"/>
          </w:tcPr>
          <w:p w14:paraId="1D41E91A" w14:textId="1BD3E3FC" w:rsidR="001D1F1D" w:rsidRPr="001D1F1D" w:rsidRDefault="001D1F1D" w:rsidP="00064E10">
            <w:pPr>
              <w:jc w:val="center"/>
              <w:rPr>
                <w:rFonts w:ascii="Times New Roman" w:hAnsi="Times New Roman" w:cs="Times New Roman"/>
              </w:rPr>
            </w:pPr>
            <w:r w:rsidRPr="001D1F1D">
              <w:rPr>
                <w:rFonts w:ascii="Times New Roman" w:hAnsi="Times New Roman" w:cs="Times New Roman"/>
              </w:rPr>
              <w:t>0.28660</w:t>
            </w:r>
          </w:p>
        </w:tc>
      </w:tr>
    </w:tbl>
    <w:p w14:paraId="23FCAC3A" w14:textId="77777777" w:rsidR="001D1F1D" w:rsidRDefault="001D1F1D" w:rsidP="00A02526">
      <w:pPr>
        <w:autoSpaceDE w:val="0"/>
        <w:autoSpaceDN w:val="0"/>
        <w:adjustRightInd w:val="0"/>
        <w:spacing w:after="0" w:line="240" w:lineRule="auto"/>
        <w:rPr>
          <w:rFonts w:ascii="CIDFont+F2" w:hAnsi="CIDFont+F2" w:cs="CIDFont+F2"/>
          <w:kern w:val="0"/>
          <w:sz w:val="22"/>
          <w:szCs w:val="22"/>
        </w:rPr>
      </w:pPr>
    </w:p>
    <w:p w14:paraId="6829ECEE" w14:textId="7C38A41B" w:rsidR="00A02526" w:rsidRDefault="00A02526" w:rsidP="00A02526">
      <w:pPr>
        <w:autoSpaceDE w:val="0"/>
        <w:autoSpaceDN w:val="0"/>
        <w:adjustRightInd w:val="0"/>
        <w:spacing w:after="0" w:line="240" w:lineRule="auto"/>
        <w:rPr>
          <w:rFonts w:ascii="CIDFont+F2" w:hAnsi="CIDFont+F2" w:cs="CIDFont+F2"/>
          <w:kern w:val="0"/>
          <w:sz w:val="22"/>
          <w:szCs w:val="22"/>
        </w:rPr>
      </w:pPr>
      <w:r>
        <w:rPr>
          <w:rFonts w:ascii="CIDFont+F2" w:hAnsi="CIDFont+F2" w:cs="CIDFont+F2"/>
          <w:kern w:val="0"/>
          <w:sz w:val="22"/>
          <w:szCs w:val="22"/>
        </w:rPr>
        <w:t>The County is providing this table of property tax information as a service to the residents of the county. Each individual unit is responsible for calculating the property tax rates listed in this table pertaining to that taxing unit and providing that information to the county.</w:t>
      </w:r>
    </w:p>
    <w:p w14:paraId="2B73495E" w14:textId="77777777" w:rsidR="00A02526" w:rsidRDefault="00A02526" w:rsidP="00A02526">
      <w:pPr>
        <w:autoSpaceDE w:val="0"/>
        <w:autoSpaceDN w:val="0"/>
        <w:adjustRightInd w:val="0"/>
        <w:spacing w:after="0" w:line="240" w:lineRule="auto"/>
        <w:rPr>
          <w:rFonts w:ascii="CIDFont+F2" w:hAnsi="CIDFont+F2" w:cs="CIDFont+F2"/>
          <w:kern w:val="0"/>
          <w:sz w:val="22"/>
          <w:szCs w:val="22"/>
        </w:rPr>
      </w:pPr>
      <w:r>
        <w:rPr>
          <w:rFonts w:ascii="CIDFont+F2" w:hAnsi="CIDFont+F2" w:cs="CIDFont+F2"/>
          <w:kern w:val="0"/>
          <w:sz w:val="22"/>
          <w:szCs w:val="22"/>
        </w:rPr>
        <w:t xml:space="preserve">The </w:t>
      </w:r>
      <w:r w:rsidRPr="00A02526">
        <w:rPr>
          <w:rFonts w:ascii="CIDFont+F1" w:hAnsi="CIDFont+F1" w:cs="CIDFont+F1"/>
          <w:b/>
          <w:bCs/>
          <w:kern w:val="0"/>
          <w:sz w:val="22"/>
          <w:szCs w:val="22"/>
        </w:rPr>
        <w:t>Adopted Tax Rate</w:t>
      </w:r>
      <w:r>
        <w:rPr>
          <w:rFonts w:ascii="CIDFont+F1" w:hAnsi="CIDFont+F1" w:cs="CIDFont+F1"/>
          <w:kern w:val="0"/>
          <w:sz w:val="22"/>
          <w:szCs w:val="22"/>
        </w:rPr>
        <w:t xml:space="preserve"> </w:t>
      </w:r>
      <w:r>
        <w:rPr>
          <w:rFonts w:ascii="CIDFont+F2" w:hAnsi="CIDFont+F2" w:cs="CIDFont+F2"/>
          <w:kern w:val="0"/>
          <w:sz w:val="22"/>
          <w:szCs w:val="22"/>
        </w:rPr>
        <w:t>is the tax rate adopted by the governing body of a taxing unit.</w:t>
      </w:r>
    </w:p>
    <w:p w14:paraId="2385EF1A" w14:textId="48104424" w:rsidR="00A02526" w:rsidRDefault="00A02526" w:rsidP="00A02526">
      <w:pPr>
        <w:autoSpaceDE w:val="0"/>
        <w:autoSpaceDN w:val="0"/>
        <w:adjustRightInd w:val="0"/>
        <w:spacing w:after="0" w:line="240" w:lineRule="auto"/>
        <w:rPr>
          <w:rFonts w:ascii="CIDFont+F2" w:hAnsi="CIDFont+F2" w:cs="CIDFont+F2"/>
          <w:kern w:val="0"/>
          <w:sz w:val="22"/>
          <w:szCs w:val="22"/>
        </w:rPr>
      </w:pPr>
      <w:r>
        <w:rPr>
          <w:rFonts w:ascii="CIDFont+F2" w:hAnsi="CIDFont+F2" w:cs="CIDFont+F2"/>
          <w:kern w:val="0"/>
          <w:sz w:val="22"/>
          <w:szCs w:val="22"/>
        </w:rPr>
        <w:t xml:space="preserve">The </w:t>
      </w:r>
      <w:r w:rsidRPr="00A02526">
        <w:rPr>
          <w:rFonts w:ascii="CIDFont+F1" w:hAnsi="CIDFont+F1" w:cs="CIDFont+F1"/>
          <w:b/>
          <w:bCs/>
          <w:kern w:val="0"/>
          <w:sz w:val="22"/>
          <w:szCs w:val="22"/>
        </w:rPr>
        <w:t>Maintenance and Operations Rate</w:t>
      </w:r>
      <w:r>
        <w:rPr>
          <w:rFonts w:ascii="CIDFont+F1" w:hAnsi="CIDFont+F1" w:cs="CIDFont+F1"/>
          <w:kern w:val="0"/>
          <w:sz w:val="22"/>
          <w:szCs w:val="22"/>
        </w:rPr>
        <w:t xml:space="preserve"> </w:t>
      </w:r>
      <w:r>
        <w:rPr>
          <w:rFonts w:ascii="CIDFont+F2" w:hAnsi="CIDFont+F2" w:cs="CIDFont+F2"/>
          <w:kern w:val="0"/>
          <w:sz w:val="22"/>
          <w:szCs w:val="22"/>
        </w:rPr>
        <w:t>is the component of the adopted tax rate of a taxing unit that will impose the amount of taxes needed to fund maintenance and operation expenditures of the unit for the following year.</w:t>
      </w:r>
    </w:p>
    <w:p w14:paraId="02709FB7" w14:textId="7B22FA57" w:rsidR="00A02526" w:rsidRDefault="00A02526" w:rsidP="00A02526">
      <w:pPr>
        <w:autoSpaceDE w:val="0"/>
        <w:autoSpaceDN w:val="0"/>
        <w:adjustRightInd w:val="0"/>
        <w:spacing w:after="0" w:line="240" w:lineRule="auto"/>
        <w:rPr>
          <w:rFonts w:ascii="CIDFont+F2" w:hAnsi="CIDFont+F2" w:cs="CIDFont+F2"/>
          <w:kern w:val="0"/>
          <w:sz w:val="22"/>
          <w:szCs w:val="22"/>
        </w:rPr>
      </w:pPr>
      <w:r>
        <w:rPr>
          <w:rFonts w:ascii="CIDFont+F2" w:hAnsi="CIDFont+F2" w:cs="CIDFont+F2"/>
          <w:kern w:val="0"/>
          <w:sz w:val="22"/>
          <w:szCs w:val="22"/>
        </w:rPr>
        <w:t xml:space="preserve">The </w:t>
      </w:r>
      <w:r w:rsidRPr="00A02526">
        <w:rPr>
          <w:rFonts w:ascii="CIDFont+F1" w:hAnsi="CIDFont+F1" w:cs="CIDFont+F1"/>
          <w:b/>
          <w:bCs/>
          <w:kern w:val="0"/>
          <w:sz w:val="22"/>
          <w:szCs w:val="22"/>
        </w:rPr>
        <w:t>Interest &amp; Sinking Rate</w:t>
      </w:r>
      <w:r>
        <w:rPr>
          <w:rFonts w:ascii="CIDFont+F1" w:hAnsi="CIDFont+F1" w:cs="CIDFont+F1"/>
          <w:kern w:val="0"/>
          <w:sz w:val="22"/>
          <w:szCs w:val="22"/>
        </w:rPr>
        <w:t xml:space="preserve"> </w:t>
      </w:r>
      <w:r>
        <w:rPr>
          <w:rFonts w:ascii="CIDFont+F2" w:hAnsi="CIDFont+F2" w:cs="CIDFont+F2"/>
          <w:kern w:val="0"/>
          <w:sz w:val="22"/>
          <w:szCs w:val="22"/>
        </w:rPr>
        <w:t>is the component of the adopted tax rate of a taxing unit that will impose the amount of taxes needed to fund the unit’s debt service for the following year.</w:t>
      </w:r>
    </w:p>
    <w:p w14:paraId="7443EB99" w14:textId="5B5157B1" w:rsidR="00A02526" w:rsidRDefault="00A02526" w:rsidP="00A02526">
      <w:pPr>
        <w:autoSpaceDE w:val="0"/>
        <w:autoSpaceDN w:val="0"/>
        <w:adjustRightInd w:val="0"/>
        <w:spacing w:after="0" w:line="240" w:lineRule="auto"/>
        <w:rPr>
          <w:rFonts w:ascii="CIDFont+F2" w:hAnsi="CIDFont+F2" w:cs="CIDFont+F2"/>
          <w:kern w:val="0"/>
          <w:sz w:val="22"/>
          <w:szCs w:val="22"/>
        </w:rPr>
      </w:pPr>
      <w:r>
        <w:rPr>
          <w:rFonts w:ascii="CIDFont+F2" w:hAnsi="CIDFont+F2" w:cs="CIDFont+F2"/>
          <w:kern w:val="0"/>
          <w:sz w:val="22"/>
          <w:szCs w:val="22"/>
        </w:rPr>
        <w:t xml:space="preserve">The </w:t>
      </w:r>
      <w:r w:rsidRPr="00A02526">
        <w:rPr>
          <w:rFonts w:ascii="CIDFont+F1" w:hAnsi="CIDFont+F1" w:cs="CIDFont+F1"/>
          <w:b/>
          <w:bCs/>
          <w:kern w:val="0"/>
          <w:sz w:val="22"/>
          <w:szCs w:val="22"/>
        </w:rPr>
        <w:t>No New Revenue Tax Rate</w:t>
      </w:r>
      <w:r>
        <w:rPr>
          <w:rFonts w:ascii="CIDFont+F1" w:hAnsi="CIDFont+F1" w:cs="CIDFont+F1"/>
          <w:kern w:val="0"/>
          <w:sz w:val="22"/>
          <w:szCs w:val="22"/>
        </w:rPr>
        <w:t xml:space="preserve"> </w:t>
      </w:r>
      <w:r>
        <w:rPr>
          <w:rFonts w:ascii="CIDFont+F2" w:hAnsi="CIDFont+F2" w:cs="CIDFont+F2"/>
          <w:kern w:val="0"/>
          <w:sz w:val="22"/>
          <w:szCs w:val="22"/>
        </w:rPr>
        <w:t>is the tax rate that would generate the same amount of revenue in the current tax year as was generated by a taxing unit’s adopted tax rate in the preceding tax year from property that is taxable in both the current tax year and the preceding tax year.</w:t>
      </w:r>
    </w:p>
    <w:p w14:paraId="3CF57E6C" w14:textId="4952EFB2" w:rsidR="00A02526" w:rsidRDefault="00A02526" w:rsidP="00A02526">
      <w:pPr>
        <w:autoSpaceDE w:val="0"/>
        <w:autoSpaceDN w:val="0"/>
        <w:adjustRightInd w:val="0"/>
        <w:spacing w:after="0" w:line="240" w:lineRule="auto"/>
        <w:rPr>
          <w:rFonts w:ascii="CIDFont+F2" w:hAnsi="CIDFont+F2" w:cs="CIDFont+F2"/>
          <w:kern w:val="0"/>
          <w:sz w:val="22"/>
          <w:szCs w:val="22"/>
        </w:rPr>
      </w:pPr>
      <w:r>
        <w:rPr>
          <w:rFonts w:ascii="CIDFont+F2" w:hAnsi="CIDFont+F2" w:cs="CIDFont+F2"/>
          <w:kern w:val="0"/>
          <w:sz w:val="22"/>
          <w:szCs w:val="22"/>
        </w:rPr>
        <w:t xml:space="preserve">The </w:t>
      </w:r>
      <w:r w:rsidRPr="00A02526">
        <w:rPr>
          <w:rFonts w:ascii="CIDFont+F1" w:hAnsi="CIDFont+F1" w:cs="CIDFont+F1"/>
          <w:b/>
          <w:bCs/>
          <w:kern w:val="0"/>
          <w:sz w:val="22"/>
          <w:szCs w:val="22"/>
        </w:rPr>
        <w:t>No New Revenue Maintenance and Operations</w:t>
      </w:r>
      <w:r>
        <w:rPr>
          <w:rFonts w:ascii="CIDFont+F1" w:hAnsi="CIDFont+F1" w:cs="CIDFont+F1"/>
          <w:kern w:val="0"/>
          <w:sz w:val="22"/>
          <w:szCs w:val="22"/>
        </w:rPr>
        <w:t xml:space="preserve"> Rate </w:t>
      </w:r>
      <w:r>
        <w:rPr>
          <w:rFonts w:ascii="CIDFont+F2" w:hAnsi="CIDFont+F2" w:cs="CIDFont+F2"/>
          <w:kern w:val="0"/>
          <w:sz w:val="22"/>
          <w:szCs w:val="22"/>
        </w:rPr>
        <w:t>is the tax rate that would generate the same amount of revenue for maintenance and operations in the current tax year as was generated by a taxing unit’s maintenance and operations rate in the preceding tax year from property that is taxable in both the current tax year and the preceding tax year.</w:t>
      </w:r>
    </w:p>
    <w:p w14:paraId="5FBC3C63" w14:textId="532593D0" w:rsidR="000C1483" w:rsidRPr="00A02526" w:rsidRDefault="00A02526" w:rsidP="00A02526">
      <w:pPr>
        <w:autoSpaceDE w:val="0"/>
        <w:autoSpaceDN w:val="0"/>
        <w:adjustRightInd w:val="0"/>
        <w:spacing w:after="0" w:line="240" w:lineRule="auto"/>
        <w:rPr>
          <w:rFonts w:ascii="CIDFont+F2" w:hAnsi="CIDFont+F2" w:cs="CIDFont+F2"/>
          <w:kern w:val="0"/>
          <w:sz w:val="22"/>
          <w:szCs w:val="22"/>
        </w:rPr>
      </w:pPr>
      <w:r>
        <w:rPr>
          <w:rFonts w:ascii="CIDFont+F2" w:hAnsi="CIDFont+F2" w:cs="CIDFont+F2"/>
          <w:kern w:val="0"/>
          <w:sz w:val="22"/>
          <w:szCs w:val="22"/>
        </w:rPr>
        <w:t xml:space="preserve">The </w:t>
      </w:r>
      <w:r w:rsidRPr="00A02526">
        <w:rPr>
          <w:rFonts w:ascii="CIDFont+F1" w:hAnsi="CIDFont+F1" w:cs="CIDFont+F1"/>
          <w:b/>
          <w:bCs/>
          <w:kern w:val="0"/>
          <w:sz w:val="22"/>
          <w:szCs w:val="22"/>
        </w:rPr>
        <w:t>Voter Approval Tax Rate</w:t>
      </w:r>
      <w:r>
        <w:rPr>
          <w:rFonts w:ascii="CIDFont+F1" w:hAnsi="CIDFont+F1" w:cs="CIDFont+F1"/>
          <w:kern w:val="0"/>
          <w:sz w:val="22"/>
          <w:szCs w:val="22"/>
        </w:rPr>
        <w:t xml:space="preserve"> </w:t>
      </w:r>
      <w:r>
        <w:rPr>
          <w:rFonts w:ascii="CIDFont+F2" w:hAnsi="CIDFont+F2" w:cs="CIDFont+F2"/>
          <w:kern w:val="0"/>
          <w:sz w:val="22"/>
          <w:szCs w:val="22"/>
        </w:rPr>
        <w:t xml:space="preserve">is the highest tax rate a taxing unit may adopt before requiring voter approval at an election. In the case of a taxing unit other than a school district the voters by petition may require that a Voter Approval election be held if the unit adopts a tax rate more than the unit’s Voter Approval tax rate. In the case of a school district, an election will automatically be held if the district wishes to adopt a tax rate </w:t>
      </w:r>
      <w:r w:rsidR="001D1F1D">
        <w:rPr>
          <w:rFonts w:ascii="CIDFont+F2" w:hAnsi="CIDFont+F2" w:cs="CIDFont+F2"/>
          <w:kern w:val="0"/>
          <w:sz w:val="22"/>
          <w:szCs w:val="22"/>
        </w:rPr>
        <w:t>more than</w:t>
      </w:r>
      <w:r>
        <w:rPr>
          <w:rFonts w:ascii="CIDFont+F2" w:hAnsi="CIDFont+F2" w:cs="CIDFont+F2"/>
          <w:kern w:val="0"/>
          <w:sz w:val="22"/>
          <w:szCs w:val="22"/>
        </w:rPr>
        <w:t xml:space="preserve"> the district’s Voter Approval tax rate.</w:t>
      </w:r>
    </w:p>
    <w:sectPr w:rsidR="000C1483" w:rsidRPr="00A025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17D6" w14:textId="77777777" w:rsidR="00BD495B" w:rsidRDefault="00BD495B" w:rsidP="00A02526">
      <w:pPr>
        <w:spacing w:after="0" w:line="240" w:lineRule="auto"/>
      </w:pPr>
      <w:r>
        <w:separator/>
      </w:r>
    </w:p>
  </w:endnote>
  <w:endnote w:type="continuationSeparator" w:id="0">
    <w:p w14:paraId="7269C7D4" w14:textId="77777777" w:rsidR="00BD495B" w:rsidRDefault="00BD495B" w:rsidP="00A0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931E" w14:textId="77777777" w:rsidR="00BD495B" w:rsidRDefault="00BD495B" w:rsidP="00A02526">
      <w:pPr>
        <w:spacing w:after="0" w:line="240" w:lineRule="auto"/>
      </w:pPr>
      <w:r>
        <w:separator/>
      </w:r>
    </w:p>
  </w:footnote>
  <w:footnote w:type="continuationSeparator" w:id="0">
    <w:p w14:paraId="26E37AFA" w14:textId="77777777" w:rsidR="00BD495B" w:rsidRDefault="00BD495B" w:rsidP="00A0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FF60" w14:textId="77777777" w:rsidR="00A02526" w:rsidRPr="000C1483" w:rsidRDefault="00A02526" w:rsidP="00A02526">
    <w:pPr>
      <w:spacing w:after="120"/>
      <w:jc w:val="center"/>
      <w:rPr>
        <w:rFonts w:ascii="Times New Roman" w:hAnsi="Times New Roman" w:cs="Times New Roman"/>
        <w:b/>
        <w:bCs/>
        <w:sz w:val="40"/>
        <w:szCs w:val="40"/>
      </w:rPr>
    </w:pPr>
    <w:r w:rsidRPr="000C1483">
      <w:rPr>
        <w:rFonts w:ascii="Times New Roman" w:hAnsi="Times New Roman" w:cs="Times New Roman"/>
        <w:b/>
        <w:bCs/>
        <w:sz w:val="40"/>
        <w:szCs w:val="40"/>
      </w:rPr>
      <w:t>Truth in Taxation Summary</w:t>
    </w:r>
  </w:p>
  <w:p w14:paraId="0219BFF3" w14:textId="77777777" w:rsidR="00A02526" w:rsidRPr="000C1483" w:rsidRDefault="00A02526" w:rsidP="00A02526">
    <w:pPr>
      <w:spacing w:after="120"/>
      <w:jc w:val="center"/>
      <w:rPr>
        <w:rFonts w:ascii="Times New Roman" w:hAnsi="Times New Roman" w:cs="Times New Roman"/>
      </w:rPr>
    </w:pPr>
    <w:r w:rsidRPr="000C1483">
      <w:rPr>
        <w:rFonts w:ascii="Times New Roman" w:hAnsi="Times New Roman" w:cs="Times New Roman"/>
      </w:rPr>
      <w:t>Texas Property Tax Code Section 26.16</w:t>
    </w:r>
  </w:p>
  <w:p w14:paraId="663EB6B7" w14:textId="30E577FD" w:rsidR="00A02526" w:rsidRDefault="00A02526" w:rsidP="00A02526">
    <w:pPr>
      <w:pStyle w:val="Header"/>
      <w:spacing w:after="120"/>
      <w:jc w:val="center"/>
    </w:pPr>
    <w:r w:rsidRPr="000C1483">
      <w:rPr>
        <w:rFonts w:ascii="Times New Roman" w:hAnsi="Times New Roman" w:cs="Times New Roman"/>
        <w:b/>
        <w:bCs/>
        <w:sz w:val="36"/>
        <w:szCs w:val="36"/>
      </w:rPr>
      <w:t>Borden County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83"/>
    <w:rsid w:val="00064E10"/>
    <w:rsid w:val="000C1483"/>
    <w:rsid w:val="000D341B"/>
    <w:rsid w:val="001D1F1D"/>
    <w:rsid w:val="001F28FA"/>
    <w:rsid w:val="005D242B"/>
    <w:rsid w:val="00805786"/>
    <w:rsid w:val="008674D1"/>
    <w:rsid w:val="0092481C"/>
    <w:rsid w:val="0094733F"/>
    <w:rsid w:val="00A02526"/>
    <w:rsid w:val="00A96C18"/>
    <w:rsid w:val="00AE4E3D"/>
    <w:rsid w:val="00BD495B"/>
    <w:rsid w:val="00C31592"/>
    <w:rsid w:val="00E6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CD38"/>
  <w15:chartTrackingRefBased/>
  <w15:docId w15:val="{D1856A15-3C09-40DE-9773-425A95A3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4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4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4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4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4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4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4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4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4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83"/>
    <w:rPr>
      <w:rFonts w:eastAsiaTheme="majorEastAsia" w:cstheme="majorBidi"/>
      <w:color w:val="272727" w:themeColor="text1" w:themeTint="D8"/>
    </w:rPr>
  </w:style>
  <w:style w:type="paragraph" w:styleId="Title">
    <w:name w:val="Title"/>
    <w:basedOn w:val="Normal"/>
    <w:next w:val="Normal"/>
    <w:link w:val="TitleChar"/>
    <w:uiPriority w:val="10"/>
    <w:qFormat/>
    <w:rsid w:val="000C1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83"/>
    <w:pPr>
      <w:spacing w:before="160"/>
      <w:jc w:val="center"/>
    </w:pPr>
    <w:rPr>
      <w:i/>
      <w:iCs/>
      <w:color w:val="404040" w:themeColor="text1" w:themeTint="BF"/>
    </w:rPr>
  </w:style>
  <w:style w:type="character" w:customStyle="1" w:styleId="QuoteChar">
    <w:name w:val="Quote Char"/>
    <w:basedOn w:val="DefaultParagraphFont"/>
    <w:link w:val="Quote"/>
    <w:uiPriority w:val="29"/>
    <w:rsid w:val="000C1483"/>
    <w:rPr>
      <w:i/>
      <w:iCs/>
      <w:color w:val="404040" w:themeColor="text1" w:themeTint="BF"/>
    </w:rPr>
  </w:style>
  <w:style w:type="paragraph" w:styleId="ListParagraph">
    <w:name w:val="List Paragraph"/>
    <w:basedOn w:val="Normal"/>
    <w:uiPriority w:val="34"/>
    <w:qFormat/>
    <w:rsid w:val="000C1483"/>
    <w:pPr>
      <w:ind w:left="720"/>
      <w:contextualSpacing/>
    </w:pPr>
  </w:style>
  <w:style w:type="character" w:styleId="IntenseEmphasis">
    <w:name w:val="Intense Emphasis"/>
    <w:basedOn w:val="DefaultParagraphFont"/>
    <w:uiPriority w:val="21"/>
    <w:qFormat/>
    <w:rsid w:val="000C1483"/>
    <w:rPr>
      <w:i/>
      <w:iCs/>
      <w:color w:val="2F5496" w:themeColor="accent1" w:themeShade="BF"/>
    </w:rPr>
  </w:style>
  <w:style w:type="paragraph" w:styleId="IntenseQuote">
    <w:name w:val="Intense Quote"/>
    <w:basedOn w:val="Normal"/>
    <w:next w:val="Normal"/>
    <w:link w:val="IntenseQuoteChar"/>
    <w:uiPriority w:val="30"/>
    <w:qFormat/>
    <w:rsid w:val="000C1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483"/>
    <w:rPr>
      <w:i/>
      <w:iCs/>
      <w:color w:val="2F5496" w:themeColor="accent1" w:themeShade="BF"/>
    </w:rPr>
  </w:style>
  <w:style w:type="character" w:styleId="IntenseReference">
    <w:name w:val="Intense Reference"/>
    <w:basedOn w:val="DefaultParagraphFont"/>
    <w:uiPriority w:val="32"/>
    <w:qFormat/>
    <w:rsid w:val="000C1483"/>
    <w:rPr>
      <w:b/>
      <w:bCs/>
      <w:smallCaps/>
      <w:color w:val="2F5496" w:themeColor="accent1" w:themeShade="BF"/>
      <w:spacing w:val="5"/>
    </w:rPr>
  </w:style>
  <w:style w:type="table" w:styleId="TableGrid">
    <w:name w:val="Table Grid"/>
    <w:basedOn w:val="TableNormal"/>
    <w:uiPriority w:val="39"/>
    <w:rsid w:val="000C1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526"/>
  </w:style>
  <w:style w:type="paragraph" w:styleId="Footer">
    <w:name w:val="footer"/>
    <w:basedOn w:val="Normal"/>
    <w:link w:val="FooterChar"/>
    <w:uiPriority w:val="99"/>
    <w:unhideWhenUsed/>
    <w:rsid w:val="00A0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458</Words>
  <Characters>2194</Characters>
  <Application>Microsoft Office Word</Application>
  <DocSecurity>0</DocSecurity>
  <Lines>104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Palmer</dc:creator>
  <cp:keywords/>
  <dc:description/>
  <cp:lastModifiedBy>Cathy Palmer</cp:lastModifiedBy>
  <cp:revision>2</cp:revision>
  <dcterms:created xsi:type="dcterms:W3CDTF">2026-03-16T20:41:00Z</dcterms:created>
  <dcterms:modified xsi:type="dcterms:W3CDTF">2026-03-16T21:59:00Z</dcterms:modified>
</cp:coreProperties>
</file>